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78"/>
        <w:gridCol w:w="9355"/>
        <w:gridCol w:w="1601"/>
      </w:tblGrid>
      <w:tr w:rsidR="00A87DC6" w:rsidRPr="00A87DC6" w:rsidTr="00A87DC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Pr="00A87DC6" w:rsidRDefault="00A87DC6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załącznik nr 5 do SIWZ "Dostawa LO"</w:t>
            </w:r>
          </w:p>
        </w:tc>
      </w:tr>
      <w:tr w:rsidR="00A87DC6" w:rsidRPr="00050FF3" w:rsidTr="00A87DC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129" w:rsidRDefault="00075129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ZADANIE 1 - sprzęt komputerowy, oprogramowanie</w:t>
            </w:r>
          </w:p>
        </w:tc>
      </w:tr>
      <w:tr w:rsidR="00A87DC6" w:rsidRPr="00050FF3" w:rsidTr="0078106E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7DC6" w:rsidRPr="00050FF3" w:rsidTr="0078106E">
        <w:trPr>
          <w:trHeight w:val="63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3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A87DC6" w:rsidRPr="00050FF3" w:rsidTr="0078106E">
        <w:trPr>
          <w:trHeight w:val="37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MS Office 2016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3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Licencja ED</w:t>
            </w:r>
            <w:r w:rsidR="00886736" w:rsidRPr="00050FF3">
              <w:rPr>
                <w:rFonts w:eastAsia="Times New Roman" w:cs="Calibri"/>
                <w:color w:val="000000"/>
                <w:lang w:eastAsia="pl-PL"/>
              </w:rPr>
              <w:t xml:space="preserve">U na 16 stanowisk (Classroom). </w:t>
            </w:r>
          </w:p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Okres licencji: bezterminowa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A87DC6" w:rsidRPr="00050FF3" w:rsidTr="0078106E">
        <w:trPr>
          <w:trHeight w:val="67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CorelDRAW Graphics Suite 2018 PL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36" w:rsidRPr="00050FF3" w:rsidRDefault="00A87DC6" w:rsidP="008867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Licencja ED</w:t>
            </w:r>
            <w:r w:rsidR="00886736" w:rsidRPr="00050FF3">
              <w:rPr>
                <w:rFonts w:eastAsia="Times New Roman" w:cs="Calibri"/>
                <w:color w:val="000000"/>
                <w:lang w:eastAsia="pl-PL"/>
              </w:rPr>
              <w:t xml:space="preserve">U na 16 stanowisk (Classroom). </w:t>
            </w:r>
          </w:p>
          <w:p w:rsidR="00A87DC6" w:rsidRPr="00050FF3" w:rsidRDefault="00886736" w:rsidP="008867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O</w:t>
            </w:r>
            <w:r w:rsidR="00A87DC6" w:rsidRPr="00050FF3">
              <w:rPr>
                <w:rFonts w:eastAsia="Times New Roman" w:cs="Calibri"/>
                <w:color w:val="000000"/>
                <w:lang w:eastAsia="pl-PL"/>
              </w:rPr>
              <w:t>kres licencji: bezterminowa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A87DC6" w:rsidRPr="00050FF3" w:rsidTr="0078106E">
        <w:trPr>
          <w:trHeight w:val="70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Corel VideoStudio Pro 2018 ML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3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Licencja ED</w:t>
            </w:r>
            <w:r w:rsidR="00886736" w:rsidRPr="00050FF3">
              <w:rPr>
                <w:rFonts w:eastAsia="Times New Roman" w:cs="Calibri"/>
                <w:color w:val="000000"/>
                <w:lang w:eastAsia="pl-PL"/>
              </w:rPr>
              <w:t xml:space="preserve">U na 16 stanowisk (Classroom). </w:t>
            </w:r>
          </w:p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Okres licencji: bezterminowa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A87DC6" w:rsidRPr="00050FF3" w:rsidTr="0078106E">
        <w:trPr>
          <w:trHeight w:val="1282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3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ABBYY FINEREADER 12 Pro PL lub NOWSZY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3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Aplikacja umożliwiająca </w:t>
            </w:r>
            <w:r w:rsidR="00886736" w:rsidRPr="00050FF3">
              <w:rPr>
                <w:rFonts w:eastAsia="Times New Roman" w:cs="Calibri"/>
                <w:color w:val="000000"/>
                <w:lang w:eastAsia="pl-PL"/>
              </w:rPr>
              <w:t>przetwarzanie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tekstu z plików graficznych, w tym dokumenty skanowane (jpg, pdf i inne) do postaci edytowalnej.</w:t>
            </w:r>
          </w:p>
          <w:p w:rsidR="0088673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Licencja bezterminowa.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87DC6" w:rsidRPr="00050FF3" w:rsidTr="0078106E">
        <w:trPr>
          <w:trHeight w:val="17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FF3">
              <w:rPr>
                <w:rFonts w:eastAsia="Times New Roman" w:cs="Calibri"/>
                <w:lang w:eastAsia="pl-PL"/>
              </w:rPr>
              <w:t>OPIEKUN UCZNIA (Program zalecany przez MEN)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50FF3">
              <w:rPr>
                <w:rFonts w:eastAsia="Times New Roman" w:cs="Calibri"/>
                <w:lang w:eastAsia="pl-PL"/>
              </w:rPr>
              <w:t xml:space="preserve">Aplikacja z licencją bezterminową </w:t>
            </w:r>
            <w:r w:rsidR="00886736" w:rsidRPr="00050FF3">
              <w:rPr>
                <w:rFonts w:eastAsia="Times New Roman" w:cs="Calibri"/>
                <w:lang w:eastAsia="pl-PL"/>
              </w:rPr>
              <w:t>zawierająca</w:t>
            </w:r>
            <w:r w:rsidRPr="00050FF3">
              <w:rPr>
                <w:rFonts w:eastAsia="Times New Roman" w:cs="Calibri"/>
                <w:lang w:eastAsia="pl-PL"/>
              </w:rPr>
              <w:t>:</w:t>
            </w:r>
            <w:r w:rsidRPr="00050FF3">
              <w:rPr>
                <w:rFonts w:eastAsia="Times New Roman" w:cs="Calibri"/>
                <w:lang w:eastAsia="pl-PL"/>
              </w:rPr>
              <w:br/>
              <w:t xml:space="preserve">• blokadę dostępu do stron niepożądanych dla młodzieży aktualizacja na </w:t>
            </w:r>
            <w:r w:rsidR="00886736" w:rsidRPr="00050FF3">
              <w:rPr>
                <w:rFonts w:eastAsia="Times New Roman" w:cs="Calibri"/>
                <w:lang w:eastAsia="pl-PL"/>
              </w:rPr>
              <w:t xml:space="preserve">bieżąco z możliwością </w:t>
            </w:r>
            <w:r w:rsidRPr="00050FF3">
              <w:rPr>
                <w:rFonts w:eastAsia="Times New Roman" w:cs="Calibri"/>
                <w:lang w:eastAsia="pl-PL"/>
              </w:rPr>
              <w:t>dodawania kolejnych stron do tej bazy, jak również odblokowywania wybranych stron już w niej figurujących,</w:t>
            </w:r>
            <w:r w:rsidRPr="00050FF3">
              <w:rPr>
                <w:rFonts w:eastAsia="Times New Roman" w:cs="Calibri"/>
                <w:lang w:eastAsia="pl-PL"/>
              </w:rPr>
              <w:br/>
              <w:t xml:space="preserve">• inteligentne rozpoznaje treści przeglądanych stron </w:t>
            </w:r>
            <w:r w:rsidRPr="00050FF3">
              <w:rPr>
                <w:rFonts w:eastAsia="Times New Roman" w:cs="Calibri"/>
                <w:lang w:eastAsia="pl-PL"/>
              </w:rPr>
              <w:br/>
              <w:t>•możliwość zablokowan</w:t>
            </w:r>
            <w:r w:rsidR="00886736" w:rsidRPr="00050FF3">
              <w:rPr>
                <w:rFonts w:eastAsia="Times New Roman" w:cs="Calibri"/>
                <w:lang w:eastAsia="pl-PL"/>
              </w:rPr>
              <w:t>ia korzystania  z komunikatoró</w:t>
            </w:r>
            <w:r w:rsidRPr="00050FF3">
              <w:rPr>
                <w:rFonts w:eastAsia="Times New Roman" w:cs="Calibri"/>
                <w:lang w:eastAsia="pl-PL"/>
              </w:rPr>
              <w:t>w internetowych jak gadu-gadu, tlen i inne</w:t>
            </w:r>
          </w:p>
          <w:p w:rsidR="00886736" w:rsidRPr="00050FF3" w:rsidRDefault="00886736" w:rsidP="00A87D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50FF3">
              <w:rPr>
                <w:rFonts w:eastAsia="Times New Roman" w:cs="Calibri"/>
                <w:lang w:eastAsia="pl-PL"/>
              </w:rPr>
              <w:t xml:space="preserve">Aplikacja obsługująca 16 –stanowiskową pracownię,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87DC6" w:rsidRPr="00050FF3" w:rsidTr="0078106E">
        <w:trPr>
          <w:trHeight w:val="307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PROGRAM ANTYWIRUSOWY NA KOMPUTERY UCZNIOWSKIE I NA SERVER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73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Aplikacja chroniąca komputery uczniowskie przed zagrożeniami, zawierająca moduły: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Antywirus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Zaawansowany skaner pamięci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Antyspyware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Kontrola nośników wymiennych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Antyphishing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Blokada programów typu exploit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 Ochrona przed atakami wykorzystującymi skrypty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oraz program antywirusowy na SERVER. </w:t>
            </w:r>
          </w:p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Licencja z 5 letnią aktualizacją.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A87DC6" w:rsidRPr="00050FF3" w:rsidTr="0078106E">
        <w:trPr>
          <w:trHeight w:val="264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ROUTER SIECIOWY (HUB)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Przeznaczenie: Rack 19 wysokość  1U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Prędkość magistrali:   min. 52 Gbps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Przepustowość:  min. 38 mpps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Rozmiar tablicy adresów:  min. MAC 8000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Gniazda sieciowe: 24x 10/100/1000; 4x SFP+;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Zarządzanie: http, konsola, przeglądarka WWW, SNMP v1, SNMP v2c, Telnet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Standardy: IEEE 802.1d, IEEE 802.1p, IEEE 802.1q, IEEE 802.1x, IEEE 802.3, IEEE 802.3ab, IEEE 802.3ad, IEEE 802.3u,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Rozdzielanie sygnału sieciowego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86736" w:rsidRPr="00050FF3" w:rsidRDefault="0088673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87DC6" w:rsidRPr="00050FF3" w:rsidTr="0078106E">
        <w:trPr>
          <w:trHeight w:val="267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GŁOŚNIKI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Parametry pracy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typ urządzenia zestaw 2.1 , komunikacja przewodowa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ilość głośników 3 szt. (2 głośniki satelitarne + głośnik niskotonowy [subwoofer] )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moc głośnika niskotonowego RMS 16 W; min. częstotliwość przenoszenia 40 Hz ; maks. częstotliwość przenoszenia 20 kHz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odstęp sygnału od szumu 75 dB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regulacja głośności; pilot; wyjście słuchawkowe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wymiary głośnika niskotonowego 160 x 214 x 243 mm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wymiary głośnika satelitarnego 86 x 177 x 93 mm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A87DC6" w:rsidRPr="00050FF3" w:rsidTr="0078106E">
        <w:trPr>
          <w:trHeight w:val="127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URZĄDZENIE WIELOFUNKCYJNE ( skaner, drukarka)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urządzenie ma posiadac funkcje drukowania, kopiowania i skanowania, obsługiwana wielozadaniowość; parametry drukowania:  16 str./min; predkość druku kolorowego: 16str./min.  ; tryb gotowości: czerń 11,8s, kolor 13,5s; cykl roboczy do 30 000 str A4 miesięczne; technologia wydruku: druk laserowy; jakość wydruku w czerni: maks.600x600dpi; w kolorze: maks. 600x600 dpi; wyświetlacz LCD; funkcje łaczności: ePrint, z urządzeń przenośnych; możliwość pracy bezprzewodowej - wbudowana  karta sieciowa 802.11 b/ g/n, uwierzytelnienie z użyciem protokołu WEP, WPA/WPA lub 802.11n 2,4/5 GHz, szyfrowanie za pomocą protokołu AES lub TKIP, WPS, Wi-Fi Direct; łączność - tryb standardowy: port Hi-Speed USB 2.0; wbudowany port sieci Fast Ethernet 10/100 base-TX, karta sieci bezprzewodowej 802.11n 2,4/5 GHz; dostosowane do pracy w sieci  - wbudowany interfajs Ethernet 802.11.b/g/n w standardzie ; moduł Wi-Fi działający zarówno jako punkt dostępu (z funkcją Wi-Fi direct), jak i STA; standardowa i maksymalna pojemność pamięci DDR, 128 MB pamięci flash; Obsługa papieru: standardowy podajnik na 150 arkuszy, odbiornik maksymalnie na  na 100 arkuszy (stos o wysokości 10mm), drukowanie dwustronne - obsługa , ręczna przez sterownik); obsługiwane formaty nośników:  Executive (184 × 267 mm), Oficio (216 × 330 mm), 102 × 152 mm, 127 × 203 mm, A4 (210 × 299 mm),  A5 (148 × 210 mm), A6 (105 × 148 mm),  B5 (JIS) (182 × 257 mm), B6 (JIS) (128 × 182 mm),  100 × 150 mm, Oficio (216 × 340 mm), 16K (195 × 270 mm), 16K (184 × 260 mm), 16K (197 × 273 mm), Pocztówka (JIS) (100 × 147 mm), Podwójna pocztówka (JIS) (147 × 200 mm),  Koperta nr 10 (105 × 241 mm), Koperta Monarch (98 × 191 mm), Koperta B5 (176 × 250 mm), Koperta C5 (162 × 229 mm), Koperta DL (110 × 220 mm), A5-R (210 × 148 mm); rozmiary nośników - do dostosowania: od 76x127 do 216x356mm; nosniki: papier(typu bond, broszurowy, kolorowy, błyszczący, cięzki, firmowy, lekki, fotograficzny, zwykły, wstepnie zadrukowany, dziurkowany, makulaturowy, szorstki), folie, etykiety, koperty, kartki; obsługiwana gramatura nosników: od 60 do 163 g/m2 (niepowlekany/matowy), pocztówki do 175 g/m2 i papier matowy HP 200 g/m2 maja być dozwolone w sterowniku; od 60 do 163 g/m2 (powlekany/błyszczący),  automatyczny podajnik dokumentów - od 70 do 90 g/m2; Skaner: płaski, automatyczny  podajnik dokumentów; format pliku zawierający zeskanowany obraz JPG, RAW (BMP), PNG, TIFF, PDF; rozdzielczość skanowana , maksymalny: 215,9x297 mm, maksymalny format skanowania 148,5x210mm, prędkość skanowania w trybie normalnym formatu A4 - do 14 str. / min., pojemność automatycznego  podajnika dokumentów: standardowo 35 arkuszy, obsługiwane formaty: PDF, JPG, tryby inicjacji skanowania: kopiowanie, oprogramowanie producenta, oprogramowanie użytkownika przez interfais TWAIN lub WIA; Kopiarka: predkość kopiowania w trybie normalnym: czerń do 16 str./min, kolor: do 16 str. /min, rodzielczość kopii - tekst w czerni 600x600 dpi, rozdzielczość kopiowania - tekst i grafika w kolorze: 600x600dpi, ograniczenie liczby kopii/poszerzenie ustawień: 25 do 400%, maksymalnie do 99 kopii; zasilenie i eksploatacja: napięcie wejściowe 220 do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240V pr. zm. (+/-3Hz), 60 Hz (+/- 3 Hz), zuzycie energii337 W dla drukowania, 8W w trybie gotowości, 1W w trybie uśpienia, 0,1W wyłaczanie ręczne, 0,1W włączanie automatyczne/ręczne, 1W wyłączanie automatyczne/Wake On LAN; zestaw/komplet ma zawierać: urządzenie, wkłady starowe, instrukcję instalacji, dokumentację drukarki i oprogramowanie na płycie CD, przewód zasilający, przewód USB                                                        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A87DC6" w:rsidRPr="00050FF3" w:rsidTr="0078106E">
        <w:trPr>
          <w:trHeight w:val="32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PROJEKTOR KRÓTKOOGNISKOWY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System projekcji‎‎ DLP; Obsługiwana rozdzielczość‎ VGA(640 x 480) do WUXGA_RB(1920 x 1200); Jasność Min. 3,000 lumenów, Współczynnik kontrastu‎  Min 20,000:1; Proporcje ekranu‎ Natywny 4:3 ; Wbudowany głośnik‎  Min 10W ; Wejścia  HDMI x 2 (HDMI-2 z MHL), VGA (D-sub 15pin) x 2 (wspólne z komponentowym), VGA (D-sub 15pin) x 1, Kompozytowe RCA) x 1, S-Video x 1, Audio (mini jack) x 2, Audio L/R(RCA) x 1,  Audio(mini jack) x 1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USB (typ A) x1 (zasilanie 5V/1.5A)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USB (typ mini B) x 1‎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Odbiornik Podczerwieni 2 (przód, góra)‎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Akcesoria Pilot, komplet kabli, uchwyt montażowy, ścienny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Język menu ekranowego  polski ;  Przekazywany obraz z umieszczonego na uchwycie rzutnika powinien pokryć całą powierzchnię tablicy</w:t>
            </w:r>
            <w:r w:rsidR="0078106E" w:rsidRPr="00050FF3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78106E" w:rsidRPr="00050FF3" w:rsidRDefault="0078106E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3 szt. </w:t>
            </w:r>
          </w:p>
        </w:tc>
      </w:tr>
      <w:tr w:rsidR="00A87DC6" w:rsidRPr="00050FF3" w:rsidTr="0078106E">
        <w:trPr>
          <w:trHeight w:val="1002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LAPTOP - KOMPUTER NAUCZYCIELSKI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Pamięć RAM 8 GB (SO-DIMM DDR4, 2400MHz), ilość gniazd pamięci (2 / wolne) 1/1; Dysk SSD  250 GB; taktowanie procesora -Minium 2,5  GHz; wbudowane napędy optyczne, ekran matowy, LED, przekątna ekranu 15,6"; rozdzielczość ekranu 1920 x 1080 (FullHD); karta graficzna 2048 MB GDDR5 (pamięć własna), wbudowane głośniki stereo, wbudowany mikrofon; zintegrowana karta dźwiękowa zgodna z Intel High Definition Audio, kamera internetowa 1.0 Mpix; łączność LAN 10/100/1000 Mbps; Wi-Fi 802.11 a/b/g/n/ac; moduł Bluetooth; wejście USB 3.1 Gen. 1 (USB 3.0) - 2 szt.; USB Typu-C - 2 szt.; HDMI - 1 szt.; czytnik kart pamięci - 1 szt.; VGA (D-sub) - 1 szt.; RJ-45 (LAN) - 1 szt.; wyjście słuchawkowe/wejście mikrofonowe - 1 szt.; DC-in (wejście zasilania) - 1 szt.; bateria 2-komorowa, 4000 mAh, Li-Ion; Zainstalowany system operacyjny Microsoft Windows 10 Pro PL (wersja 64-bitowa); Dołączone oprogramowanie Partycja recovery opcja przywrócenia systemu z dysku); białe podświetlenie klawiatury, wielodotykowy, intuicyjny touchpad, możliwość zabezpieczenia linką (port Kensington Lock), wbudowany czytnik linii papilarnych, szyfrowanie TPM; dołączony zasilacz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3 szt.</w:t>
            </w:r>
          </w:p>
        </w:tc>
      </w:tr>
      <w:tr w:rsidR="00A87DC6" w:rsidRPr="00050FF3" w:rsidTr="0078106E">
        <w:trPr>
          <w:trHeight w:val="52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KOMPUTER SERVER Z MONITOREM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Procesor Procesor musi osiągnąć wynik minimum 8035 w rankingu PassMark Software PassMark-CPU Benchmarks; Typ  4-rdzieniowy; Ilość zainstalowanych procesorów:  1; Maksymalna ilość procesorów: 1; Dysk twardy:  2x 2 TB; Prędkość obrotowa dysku:  7200 RPM; Obsługiwane poziomy RAID 0,1,10,5; Pamięć RAM zainstalowana: 16 GBz kontrolą ECC; Typ pamięci RAM DDR4; Maksymalna; pojemność pamięci RAM 64 GB; Liczba gniazd pamięci 4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Gniazda rozszerzeń: 1 x PCI-Express 3.0 x1 (elektrycznie x1)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1 x PCI-Express 3.0 x8; 2 x PCI-Express 3.0 x4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Wolne wnęki wewnętrzne 2 x 3.5 hot swap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Karta sieciowa: 10/100/1000 Mbit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Złącza: 1 x szeregowe; 2 x RJ-45; 3 x USB 3.0; 5 x USB 2.0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Technologie złączy: RJ-45; RS-232 (Port szeregowy); SAS; SATA 3; USB 2.0; USB 3.0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Napędy: DVD-RW; Zasilacz: Moc zasilacza [W] min. 500 W; Podwójny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Obudowa: Tower;  Zainstalowane oprogramowanie: MS Windows Server 2016 Standard dla max 25 użytkowników ; Monitor: Typ  płaski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Przekątna matrycy Min 23,8 cale; Format matrycy 16:9; Rodzaj matrycy IPS/PLS lub VA; Obsługiwana rozdzielczość 1920x1080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Czas reakcji Max 5 ms; Jasność Minimum 250 cd/m2; Kąt widzenia w poziomi i w pionie 178 st; Częstotliwość odświeżania 60 Hz; Złącze 1xvga (D-Sub) i HDMI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Zastosowane technologie LED; Wymagania dodatkowe Kolor obudowy : czarny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Kable zgodne ze złączem monitora (D-Sub i HDMI), kabel zasilający monitor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zestaw</w:t>
            </w:r>
          </w:p>
        </w:tc>
      </w:tr>
      <w:tr w:rsidR="00A87DC6" w:rsidRPr="00050FF3" w:rsidTr="0078106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OKABLOWANIE SIECIOWE  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Sieć LAN - 18 gniazd sieciowych RJ-45. Wg rysunku rozkładu pracowni informatycznej.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komplet</w:t>
            </w:r>
          </w:p>
        </w:tc>
      </w:tr>
      <w:tr w:rsidR="00A87DC6" w:rsidRPr="00050FF3" w:rsidTr="0078106E">
        <w:trPr>
          <w:trHeight w:val="238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APARAT CYFROWY</w:t>
            </w:r>
          </w:p>
        </w:tc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Parametry pracy • 1-calowa matryca MOS o rozdzielczości minimum 20.1 mln pikseli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obiektyw 24 - 480 mm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możliwość nagrywania filmów w 4K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minimum 20-krotny zoom optyczny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zdjęcia seryjne 12 kl./s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3-calowy, uchylny ekran LCD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procesor Venus Engine FHD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 xml:space="preserve">• karty pamięci SD, SDHC, SDXC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• zasilanie: akumulator litowo-jonowy  wraz z ładowarką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1 zestaw</w:t>
            </w:r>
          </w:p>
        </w:tc>
      </w:tr>
    </w:tbl>
    <w:p w:rsidR="0054535D" w:rsidRPr="00050FF3" w:rsidRDefault="005453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A87DC6" w:rsidRPr="00050FF3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06E" w:rsidRPr="00050FF3" w:rsidRDefault="0078106E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E9197F" w:rsidRPr="00050FF3" w:rsidRDefault="00E9197F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A87DC6" w:rsidRPr="00050FF3" w:rsidRDefault="00A87DC6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FF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ZADANIE 2 - meble szkolne, wyposażenie techniczne</w:t>
            </w:r>
          </w:p>
          <w:p w:rsidR="0078106E" w:rsidRPr="00050FF3" w:rsidRDefault="0078106E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10206"/>
              <w:gridCol w:w="1094"/>
            </w:tblGrid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LP. </w:t>
                  </w:r>
                </w:p>
              </w:tc>
              <w:tc>
                <w:tcPr>
                  <w:tcW w:w="2127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0206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PARAMETRY TECHNICZNE - MINIMALNE WYMAGANIA</w:t>
                  </w:r>
                </w:p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78106E" w:rsidRPr="00075129" w:rsidRDefault="00C5518F" w:rsidP="00C5518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 w:rsidRPr="00075129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Stoliki uczniowskie komputerowe </w:t>
                  </w:r>
                </w:p>
              </w:tc>
              <w:tc>
                <w:tcPr>
                  <w:tcW w:w="10206" w:type="dxa"/>
                </w:tcPr>
                <w:p w:rsidR="00C5518F" w:rsidRDefault="00C5518F" w:rsidP="00C5518F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75129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Stoliki uczniowskie pojedyncze. Stelaż wykonany z profilu stalowego 25 x 25 x 1,5 mm giętej i spawanej, malowany farbą proszkową. Blat wykonany z płyty wiórowej laminowanej 18 mm, z obrzeżem  Końce nóg zaślepione stopkami z tworzywa sztucznego.</w:t>
                  </w:r>
                  <w:r w:rsidR="00075129" w:rsidRPr="00075129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 Do każdego stolika podstawka pod komputer ”pionowy”. Blat do klawiatury wysuwany, na prowadnicy.</w:t>
                  </w:r>
                </w:p>
                <w:p w:rsidR="00075129" w:rsidRDefault="00075129" w:rsidP="00C5518F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6 -   12 sztuk </w:t>
                  </w:r>
                </w:p>
                <w:p w:rsidR="00075129" w:rsidRDefault="00075129" w:rsidP="00C5518F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Rozmiar 5 -     2 sztuki</w:t>
                  </w:r>
                </w:p>
                <w:p w:rsidR="00075129" w:rsidRPr="00075129" w:rsidRDefault="00075129" w:rsidP="00C5518F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7-     2 sztuki </w:t>
                  </w:r>
                </w:p>
                <w:p w:rsidR="00C5518F" w:rsidRPr="00075129" w:rsidRDefault="00C5518F" w:rsidP="00075129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C5518F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16</w:t>
                  </w:r>
                  <w:r w:rsidR="0078106E"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 sztuk </w:t>
                  </w:r>
                </w:p>
              </w:tc>
            </w:tr>
            <w:tr w:rsidR="00C5518F" w:rsidRPr="00050FF3" w:rsidTr="0078106E">
              <w:tc>
                <w:tcPr>
                  <w:tcW w:w="562" w:type="dxa"/>
                </w:tcPr>
                <w:p w:rsidR="00C5518F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C5518F" w:rsidRPr="00050FF3" w:rsidRDefault="00C5518F" w:rsidP="00A87DC6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Fotel obrotowy ucznia do komputera</w:t>
                  </w:r>
                </w:p>
              </w:tc>
              <w:tc>
                <w:tcPr>
                  <w:tcW w:w="10206" w:type="dxa"/>
                </w:tcPr>
                <w:p w:rsidR="00C5518F" w:rsidRDefault="00C5518F" w:rsidP="00C5518F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winylową z nośnikiem 100%poliestru, o gramaturze 100g/m2 powłoką polichlorku winylu i powłoką poliuretanową o gramaturze 600g/m2, o ścieralności 120 000 cykli martindale'awg PN-EN ISO 12947 - 2:2000 ocena 5/5, odporną na światło wg PN - ISO 105-B02: 1997/Apl:2002 OCENA 7-8, trudnopalną  wg PN - EN 1021-1:1999 "tlący papieros". Oparcie  tapicerowane jak siedzisko z mocnym wyprofilowaniem na odcinku lędźwiowym, wkład i osłona jak siedzisko. Kolor w odcieniu zielonym typu  RAL 6018, RAL 6024, RAL 6032 -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Przeznaczon</w:t>
                  </w:r>
                  <w:r w:rsidR="00075129">
                    <w:rPr>
                      <w:rFonts w:eastAsia="Times New Roman" w:cs="Calibri"/>
                      <w:color w:val="000000"/>
                      <w:lang w:eastAsia="pl-PL"/>
                    </w:rPr>
                    <w:t>y dla uczniów w wieku 16-19 lat,</w:t>
                  </w:r>
                </w:p>
                <w:p w:rsidR="00075129" w:rsidRDefault="00075129" w:rsidP="00075129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6 -   12 sztuk </w:t>
                  </w:r>
                </w:p>
                <w:p w:rsidR="00075129" w:rsidRDefault="00075129" w:rsidP="00075129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Rozmiar 5 -     2 sztuki</w:t>
                  </w:r>
                </w:p>
                <w:p w:rsidR="00075129" w:rsidRPr="00075129" w:rsidRDefault="00075129" w:rsidP="00075129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7-     2 sztuki </w:t>
                  </w:r>
                </w:p>
                <w:p w:rsidR="00C5518F" w:rsidRDefault="00C5518F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:rsidR="0086287E" w:rsidRPr="00050FF3" w:rsidRDefault="0086287E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C5518F" w:rsidRPr="00050FF3" w:rsidRDefault="00075129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16 sztuk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2127" w:type="dxa"/>
                </w:tcPr>
                <w:p w:rsidR="00B55ED2" w:rsidRPr="00050FF3" w:rsidRDefault="00B55ED2" w:rsidP="00B55ED2">
                  <w:pPr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Fotel obrotowy dla nauczyciela</w:t>
                  </w:r>
                </w:p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206" w:type="dxa"/>
                </w:tcPr>
                <w:p w:rsidR="00B55ED2" w:rsidRPr="00050FF3" w:rsidRDefault="00B55ED2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dzianinową - 100% PES (poliester), odporność na ścieranie 160000tys. cykli Martindale wg PN-EN ISO 12947-2, gramatura 366+/- 15g/m2; pilling 4-5 wg PN-EN ISO 12945-2, trudnopalna. Oparcie  tapicerowane jak siedzisko z mocnym wyprofilowaniem na odcinku lędźwiowym, wkład i osłona jak siedzisko. Kolor w odcieniu zieleni typu  RAL 2000, RAL 2003, RAL 2008, RAL 2011 -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Przeznaczony dla nauczycieli. sugerowany wzrost 159-188 cm.</w:t>
                  </w:r>
                </w:p>
                <w:p w:rsidR="0078106E" w:rsidRPr="00050FF3" w:rsidRDefault="0078106E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2 sztuki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Biurko dla nauczyciela</w:t>
                  </w:r>
                </w:p>
              </w:tc>
              <w:tc>
                <w:tcPr>
                  <w:tcW w:w="10206" w:type="dxa"/>
                </w:tcPr>
                <w:p w:rsidR="00B55ED2" w:rsidRPr="00050FF3" w:rsidRDefault="00B55ED2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Biurko nauczycielskie wykonane z płyty wiórowej 18 mm, oklejonej PCV o grubości 2 mm. Wymiary 1600 x 700 mm. Z szuflada na klawiaturę komputerową, szafką zamykaną ( 2 półki) na klucz po jednej stronie i trzema szufladami zamykanymi na klucze po drugiej stronie. Kolor- klonowy/kremowy.</w:t>
                  </w:r>
                </w:p>
                <w:p w:rsidR="0078106E" w:rsidRPr="00050FF3" w:rsidRDefault="0078106E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1F513F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3 sztuki</w:t>
                  </w:r>
                  <w:bookmarkStart w:id="0" w:name="_GoBack"/>
                  <w:bookmarkEnd w:id="0"/>
                  <w:r w:rsidR="00B55ED2"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Szafa na dokumenty</w:t>
                  </w:r>
                </w:p>
              </w:tc>
              <w:tc>
                <w:tcPr>
                  <w:tcW w:w="10206" w:type="dxa"/>
                </w:tcPr>
                <w:p w:rsidR="00B55ED2" w:rsidRPr="00050FF3" w:rsidRDefault="00B55ED2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O wymiarach: szerokość 80cm , głębokość 40cm, wysokość 190cm.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Szafa czterodrzwiowa zamykana na zamki z dwoma kluczami.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 xml:space="preserve">Szafa wykonana jest z płyty MDF o grubości 18 mm, pokrytej jednostronnie wysokiej jakości wysokopołyskowym akrylem. Szafa posiada 5 półek (2 w górnej cześci zamykanej, 3 w dolnej części zamykanej) wykonanych z laminowanej płyty wiórowej również o grubości 18 mm, oklejonych od frontu na wysoki połysk. Powierzchnie matowe niewidoczne , tył mebla z twardej płyty HDF, w części niewidocznej w stanie surowym.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Kolor- klonowy/kremowy</w:t>
                  </w:r>
                </w:p>
                <w:p w:rsidR="0078106E" w:rsidRPr="00050FF3" w:rsidRDefault="0078106E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1 sztuka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Szafa na książki i pomoce naukowe</w:t>
                  </w:r>
                </w:p>
              </w:tc>
              <w:tc>
                <w:tcPr>
                  <w:tcW w:w="10206" w:type="dxa"/>
                </w:tcPr>
                <w:p w:rsidR="0078106E" w:rsidRPr="00050FF3" w:rsidRDefault="00B55ED2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O wymiarach:  szerokość 90cm, głębokość 40cm, wysokość 185cm. Szafa czterodrzwiowa z otwartą półką pośrodku. Zamykana na zamki z dwoma kluczami. w części zamkniętej podzielona na półki. Szafa wykonana jest z płyty MDF o grubości 18 mm, pokrytej jednostronnie wysokiej jakości wysokopołyskowym akrylem. Półki wykonane z laminowanej płyty wiórowej również o grubości 18 mm, oklejonych od frontu na wysoki połysk. Powierzchnie matowe niewidoczne , tył mebla z twardej płyty HDF, w części niewidocznej w stanie surowym.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Kolor- klonowy/kremowy</w:t>
                  </w:r>
                </w:p>
                <w:p w:rsidR="00B55ED2" w:rsidRDefault="00B55ED2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  <w:p w:rsidR="0086287E" w:rsidRPr="00050FF3" w:rsidRDefault="0086287E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2 sztuki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lastRenderedPageBreak/>
                    <w:t>7</w:t>
                  </w:r>
                </w:p>
              </w:tc>
              <w:tc>
                <w:tcPr>
                  <w:tcW w:w="2127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Krzesła do pracowni językowych </w:t>
                  </w:r>
                </w:p>
              </w:tc>
              <w:tc>
                <w:tcPr>
                  <w:tcW w:w="10206" w:type="dxa"/>
                </w:tcPr>
                <w:p w:rsidR="00075129" w:rsidRDefault="00B55ED2" w:rsidP="00B55ED2">
                  <w:pPr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Krzesła szkolne ergonomiczne, z wklęsło-wypukłą formą , wspomagającą prawidłowe ułożenie kręgosłupa, kąt nachylenia oparcia mobilizujący pracę mięśni przykręgosłupowych. Wykonane zgodnie z normą PN-EN 1729-1:2007. dopuszczone przez Instytut Medycyny pracy z oceną ergonomiczną i do stosowania w szkołach. Siedzisko oraz oparcie z tworzywa sztucznego HDPE (polietylenu wysokociśnieniowego). Oparcie umożliwiające "dynamiczny" siad, siedzisko miękkie. Struktura krzesła zmniejszająca odbicie sztucznego oświetlenia, w technologii wytwarzania tzw. płaszcza termicznego. Nogi krzesła z profilu metalowego okrągłego o średnicy 22-25mm polakierowanego farbą proszkową. Stelaż (nogi krzesła) z zaślepkami chroniącymi przed zarysowaniami podłoża. Kolor w odcieniu zieleni typu  RAL 2000, RAL 2003, RAL 2008, RAL 2011 - do uzgodnienia z Zamawiającym. </w:t>
                  </w:r>
                </w:p>
                <w:p w:rsidR="00075129" w:rsidRDefault="00075129" w:rsidP="00075129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6 -    40 sztuk </w:t>
                  </w:r>
                </w:p>
                <w:p w:rsidR="00075129" w:rsidRDefault="00075129" w:rsidP="00075129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>Rozmiar 5 -     4 sztuki</w:t>
                  </w:r>
                </w:p>
                <w:p w:rsidR="00075129" w:rsidRPr="00075129" w:rsidRDefault="00075129" w:rsidP="00075129">
                  <w:pP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Rozmiar 7-     4 sztuki </w:t>
                  </w:r>
                </w:p>
                <w:p w:rsidR="0078106E" w:rsidRPr="00050FF3" w:rsidRDefault="0078106E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48 sztuk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Rolety zewnętrzne antywłamaniowe</w:t>
                  </w:r>
                </w:p>
              </w:tc>
              <w:tc>
                <w:tcPr>
                  <w:tcW w:w="10206" w:type="dxa"/>
                </w:tcPr>
                <w:p w:rsidR="0078106E" w:rsidRPr="00050FF3" w:rsidRDefault="00B55ED2" w:rsidP="00075129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Roleta zewnętrzna natynkowa do stosowania w budynkach użyteczności publiczne, antywłamaniowa. Zwijana jest do skrzynki aluminiowej umieszczonej na </w:t>
                  </w:r>
                  <w:r w:rsidR="00075129">
                    <w:rPr>
                      <w:rFonts w:eastAsia="Times New Roman" w:cs="Calibri"/>
                      <w:color w:val="000000"/>
                      <w:lang w:eastAsia="pl-PL"/>
                    </w:rPr>
                    <w:t>ścianie lub w ościeży.</w:t>
                  </w:r>
                  <w:r w:rsidR="00075129">
                    <w:rPr>
                      <w:rFonts w:eastAsia="Times New Roman" w:cs="Calibri"/>
                      <w:color w:val="000000"/>
                      <w:lang w:eastAsia="pl-PL"/>
                    </w:rPr>
                    <w:br/>
                    <w:t>Profile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 wykonane są z wysokogatunkowej blachy aluminiowej, pokrytej dwuwarstwową powłoką lakierniczą w systemie PUR-PA, charakteryzującą się podwyższoną odpornością na ścieranie i działanie czynników atmosferycznych.  Profile wypełnione pianką zapewniając dobrą izolacyjnością termiczną i dźwiękową. Skrzynka czworokątna  z wysokogatunkowej blachy aluminiowej. Blacha za dwuwarstwową powłoką lakierniczą w systemie PUR-PA. Rolety maja zabezpieczać okna trzy otwory okienne o wymiarach 249x185cm, 184x185cm, 249x185cm (Wykonawca odpowiada, za odpowiedni pomiar rzeczywisty, który winna uwzględniać oferta ). Sterowanie ręczne rolety za pomocą zwijacza uchylnego, nawijarki z korbą.</w:t>
                  </w:r>
                </w:p>
              </w:tc>
              <w:tc>
                <w:tcPr>
                  <w:tcW w:w="1094" w:type="dxa"/>
                </w:tcPr>
                <w:p w:rsidR="0078106E" w:rsidRPr="00050FF3" w:rsidRDefault="00E9197F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1 </w:t>
                  </w:r>
                  <w:r w:rsidR="00B55ED2"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komplet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86287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Rolety wewnętrzne do pracowni językowych </w:t>
                  </w:r>
                </w:p>
              </w:tc>
              <w:tc>
                <w:tcPr>
                  <w:tcW w:w="10206" w:type="dxa"/>
                </w:tcPr>
                <w:p w:rsidR="0078106E" w:rsidRPr="00050FF3" w:rsidRDefault="00B55ED2" w:rsidP="00B55ED2">
                  <w:pPr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Rolety materiałowe wolno wiszące do zaciemnienia pomieszczeń, do stosowania w budynkach szkolnych. Tkanina refleksyjna podgumowana. Kolor w odcieniu zieleni typu  RAL 2000, RAL 2003, RAL 2008, RAL 2011 - </w:t>
                  </w:r>
                  <w:r w:rsidR="00075129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do uzgodnienia z Zamawiającym. </w:t>
                  </w:r>
                  <w:r w:rsidRPr="00050FF3">
                    <w:rPr>
                      <w:rFonts w:eastAsia="Times New Roman" w:cs="Calibri"/>
                      <w:color w:val="000000"/>
                      <w:lang w:eastAsia="pl-PL"/>
                    </w:rPr>
                    <w:t>Rura nawojowa do materiału,  schowana w kasecie. Roleta montowana  do  sufitu. Sterowana ręczne za pomocą mechanizmu koralikowego. Rolety mają zasłaniać otwory okienne w dwóch pracowniach językowych (pracownia I - wymiary: 249x185, 184x185, 249x185; pracownia II - wymiary 249x221; 184x221, 249x221).</w:t>
                  </w:r>
                </w:p>
              </w:tc>
              <w:tc>
                <w:tcPr>
                  <w:tcW w:w="1094" w:type="dxa"/>
                </w:tcPr>
                <w:p w:rsidR="0078106E" w:rsidRPr="00050FF3" w:rsidRDefault="00B55ED2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  <w:r w:rsidRPr="00050FF3"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  <w:t xml:space="preserve">2 komplety </w:t>
                  </w:r>
                </w:p>
              </w:tc>
            </w:tr>
            <w:tr w:rsidR="0078106E" w:rsidRPr="00050FF3" w:rsidTr="0078106E">
              <w:tc>
                <w:tcPr>
                  <w:tcW w:w="562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27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206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094" w:type="dxa"/>
                </w:tcPr>
                <w:p w:rsidR="0078106E" w:rsidRPr="00050FF3" w:rsidRDefault="0078106E" w:rsidP="00A87DC6">
                  <w:pPr>
                    <w:jc w:val="center"/>
                    <w:rPr>
                      <w:rFonts w:eastAsia="Times New Roman" w:cs="Calibri"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78106E" w:rsidRPr="00050FF3" w:rsidRDefault="0078106E" w:rsidP="00A87D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A87DC6" w:rsidRPr="00050FF3" w:rsidRDefault="00A87DC6"/>
    <w:sectPr w:rsidR="00A87DC6" w:rsidRPr="00050FF3" w:rsidSect="0078106E">
      <w:headerReference w:type="firs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8F" w:rsidRDefault="0060518F" w:rsidP="008D49E1">
      <w:pPr>
        <w:spacing w:after="0" w:line="240" w:lineRule="auto"/>
      </w:pPr>
      <w:r>
        <w:separator/>
      </w:r>
    </w:p>
  </w:endnote>
  <w:endnote w:type="continuationSeparator" w:id="0">
    <w:p w:rsidR="0060518F" w:rsidRDefault="0060518F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6419"/>
      <w:docPartObj>
        <w:docPartGallery w:val="Page Numbers (Bottom of Page)"/>
        <w:docPartUnique/>
      </w:docPartObj>
    </w:sdtPr>
    <w:sdtEndPr/>
    <w:sdtContent>
      <w:p w:rsidR="00851FB0" w:rsidRDefault="00851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3F">
          <w:rPr>
            <w:noProof/>
          </w:rPr>
          <w:t>1</w:t>
        </w:r>
        <w:r>
          <w:fldChar w:fldCharType="end"/>
        </w:r>
      </w:p>
    </w:sdtContent>
  </w:sdt>
  <w:p w:rsidR="00851FB0" w:rsidRDefault="00851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8F" w:rsidRDefault="0060518F" w:rsidP="008D49E1">
      <w:pPr>
        <w:spacing w:after="0" w:line="240" w:lineRule="auto"/>
      </w:pPr>
      <w:r>
        <w:separator/>
      </w:r>
    </w:p>
  </w:footnote>
  <w:footnote w:type="continuationSeparator" w:id="0">
    <w:p w:rsidR="0060518F" w:rsidRDefault="0060518F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8D49E1" w:rsidTr="00A31C21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0FE570D" wp14:editId="785E7592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AD1672F" wp14:editId="2E706DBC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A2EA236" wp14:editId="5A11AE15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73504BDE" wp14:editId="6A7B8798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6"/>
    <w:rsid w:val="00050FF3"/>
    <w:rsid w:val="00075129"/>
    <w:rsid w:val="000A125D"/>
    <w:rsid w:val="000D2479"/>
    <w:rsid w:val="001F513F"/>
    <w:rsid w:val="00217D4E"/>
    <w:rsid w:val="00504EBE"/>
    <w:rsid w:val="0054535D"/>
    <w:rsid w:val="0060518F"/>
    <w:rsid w:val="006126EB"/>
    <w:rsid w:val="0078106E"/>
    <w:rsid w:val="00851FB0"/>
    <w:rsid w:val="0086287E"/>
    <w:rsid w:val="00886736"/>
    <w:rsid w:val="008D49E1"/>
    <w:rsid w:val="00904199"/>
    <w:rsid w:val="00A87DC6"/>
    <w:rsid w:val="00AE3AFB"/>
    <w:rsid w:val="00B1750A"/>
    <w:rsid w:val="00B55ED2"/>
    <w:rsid w:val="00C5518F"/>
    <w:rsid w:val="00DF4BD3"/>
    <w:rsid w:val="00E8749B"/>
    <w:rsid w:val="00E9197F"/>
    <w:rsid w:val="00F10CBE"/>
    <w:rsid w:val="00F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3F80-CCAB-4A18-8895-5A642F2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2435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20</cp:revision>
  <dcterms:created xsi:type="dcterms:W3CDTF">2018-10-16T08:31:00Z</dcterms:created>
  <dcterms:modified xsi:type="dcterms:W3CDTF">2018-10-18T12:10:00Z</dcterms:modified>
</cp:coreProperties>
</file>